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EC" w:rsidRDefault="00E45ED3" w:rsidP="00BF3DEC">
      <w:pPr>
        <w:spacing w:before="240" w:after="120" w:line="240" w:lineRule="auto"/>
        <w:jc w:val="center"/>
        <w:rPr>
          <w:b/>
          <w:szCs w:val="28"/>
        </w:rPr>
      </w:pPr>
      <w:r w:rsidRPr="00E45ED3">
        <w:rPr>
          <w:b/>
          <w:szCs w:val="28"/>
        </w:rPr>
        <w:t>Как стать участником</w:t>
      </w:r>
      <w:r w:rsidR="00BF3DEC" w:rsidRPr="00E45ED3">
        <w:rPr>
          <w:b/>
          <w:szCs w:val="28"/>
        </w:rPr>
        <w:t xml:space="preserve"> закупок Банка России</w:t>
      </w:r>
    </w:p>
    <w:p w:rsidR="00ED181B" w:rsidRPr="00E45ED3" w:rsidRDefault="00ED181B" w:rsidP="00BF3DEC">
      <w:pPr>
        <w:spacing w:before="240" w:after="120" w:line="240" w:lineRule="auto"/>
        <w:jc w:val="center"/>
        <w:rPr>
          <w:b/>
          <w:szCs w:val="28"/>
        </w:rPr>
      </w:pPr>
    </w:p>
    <w:p w:rsidR="00ED181B" w:rsidRDefault="00E50CE1" w:rsidP="00E50CE1">
      <w:pPr>
        <w:spacing w:line="240" w:lineRule="auto"/>
        <w:ind w:firstLine="708"/>
        <w:rPr>
          <w:bCs/>
          <w:color w:val="000000"/>
          <w:szCs w:val="28"/>
        </w:rPr>
      </w:pPr>
      <w:r w:rsidRPr="007E4546">
        <w:rPr>
          <w:bCs/>
          <w:color w:val="000000"/>
          <w:szCs w:val="28"/>
        </w:rPr>
        <w:t>Для принятия участия в за</w:t>
      </w:r>
      <w:r w:rsidR="00CD032C">
        <w:rPr>
          <w:bCs/>
          <w:color w:val="000000"/>
          <w:szCs w:val="28"/>
        </w:rPr>
        <w:t>купочных процедурах Банка России</w:t>
      </w:r>
      <w:r w:rsidRPr="007E4546">
        <w:rPr>
          <w:bCs/>
          <w:color w:val="000000"/>
          <w:szCs w:val="28"/>
        </w:rPr>
        <w:t xml:space="preserve">, требуется регистрация на торговой площадке ЗАО «Сбербанк-АСТ» по адресу </w:t>
      </w:r>
      <w:hyperlink r:id="rId7" w:history="1">
        <w:r w:rsidRPr="007E4546">
          <w:rPr>
            <w:rStyle w:val="a3"/>
            <w:szCs w:val="28"/>
          </w:rPr>
          <w:t>http://utp.sberbank-ast.ru</w:t>
        </w:r>
      </w:hyperlink>
      <w:r w:rsidRPr="007E4546">
        <w:rPr>
          <w:bCs/>
          <w:color w:val="000000"/>
          <w:szCs w:val="28"/>
        </w:rPr>
        <w:t xml:space="preserve"> в секции </w:t>
      </w:r>
      <w:r w:rsidR="00ED181B">
        <w:rPr>
          <w:bCs/>
          <w:color w:val="000000"/>
          <w:szCs w:val="28"/>
        </w:rPr>
        <w:t>«Закупки Центрального банка РФ»</w:t>
      </w:r>
      <w:r w:rsidRPr="007E4546">
        <w:rPr>
          <w:bCs/>
          <w:color w:val="000000"/>
          <w:szCs w:val="28"/>
        </w:rPr>
        <w:t xml:space="preserve"> </w:t>
      </w:r>
    </w:p>
    <w:p w:rsidR="00E50CE1" w:rsidRPr="007E4546" w:rsidRDefault="00E50CE1" w:rsidP="00E50CE1">
      <w:pPr>
        <w:spacing w:line="240" w:lineRule="auto"/>
        <w:ind w:firstLine="708"/>
        <w:rPr>
          <w:bCs/>
          <w:color w:val="000000"/>
          <w:szCs w:val="28"/>
        </w:rPr>
      </w:pPr>
      <w:r w:rsidRPr="007E4546">
        <w:rPr>
          <w:bCs/>
          <w:color w:val="000000"/>
          <w:szCs w:val="28"/>
        </w:rPr>
        <w:t>Ко всем участникам установлено требование о наличии аккредитации Банка России.</w:t>
      </w:r>
    </w:p>
    <w:p w:rsidR="00E50CE1" w:rsidRPr="007E4546" w:rsidRDefault="00E50CE1" w:rsidP="00E50CE1">
      <w:pPr>
        <w:spacing w:line="240" w:lineRule="auto"/>
        <w:rPr>
          <w:bCs/>
          <w:color w:val="000000"/>
          <w:szCs w:val="28"/>
        </w:rPr>
      </w:pPr>
      <w:r w:rsidRPr="007E4546">
        <w:rPr>
          <w:bCs/>
          <w:color w:val="000000"/>
          <w:szCs w:val="28"/>
        </w:rPr>
        <w:t>Аккредитация Банка России проводится в течении десяти рабочих дней и действительна 24 месяца.</w:t>
      </w:r>
    </w:p>
    <w:p w:rsidR="00E50CE1" w:rsidRPr="007E4546" w:rsidRDefault="00E50CE1" w:rsidP="00E50CE1">
      <w:pPr>
        <w:spacing w:line="240" w:lineRule="auto"/>
        <w:rPr>
          <w:bCs/>
          <w:color w:val="000000"/>
          <w:szCs w:val="28"/>
        </w:rPr>
      </w:pPr>
    </w:p>
    <w:p w:rsidR="00E50CE1" w:rsidRPr="007E4546" w:rsidRDefault="00E50CE1" w:rsidP="00E50CE1">
      <w:pPr>
        <w:spacing w:line="240" w:lineRule="auto"/>
        <w:rPr>
          <w:bCs/>
          <w:color w:val="000000" w:themeColor="text1"/>
          <w:szCs w:val="28"/>
        </w:rPr>
      </w:pPr>
      <w:r w:rsidRPr="00E45ED3">
        <w:rPr>
          <w:bCs/>
          <w:color w:val="000000" w:themeColor="text1"/>
          <w:szCs w:val="28"/>
        </w:rPr>
        <w:t>Процедуры рег</w:t>
      </w:r>
      <w:r w:rsidR="00347828" w:rsidRPr="00E45ED3">
        <w:rPr>
          <w:bCs/>
          <w:color w:val="000000" w:themeColor="text1"/>
          <w:szCs w:val="28"/>
        </w:rPr>
        <w:t xml:space="preserve">истрации, </w:t>
      </w:r>
      <w:r w:rsidRPr="00E45ED3">
        <w:rPr>
          <w:bCs/>
          <w:color w:val="000000" w:themeColor="text1"/>
          <w:szCs w:val="28"/>
        </w:rPr>
        <w:t xml:space="preserve">аккредитации </w:t>
      </w:r>
      <w:r w:rsidR="00347828" w:rsidRPr="00E45ED3">
        <w:rPr>
          <w:bCs/>
          <w:color w:val="000000" w:themeColor="text1"/>
          <w:szCs w:val="28"/>
        </w:rPr>
        <w:t xml:space="preserve">и участия </w:t>
      </w:r>
      <w:r w:rsidR="00E45ED3">
        <w:rPr>
          <w:bCs/>
          <w:color w:val="000000" w:themeColor="text1"/>
          <w:szCs w:val="28"/>
        </w:rPr>
        <w:t>бесплатные</w:t>
      </w:r>
      <w:r w:rsidR="00ED181B">
        <w:rPr>
          <w:bCs/>
          <w:color w:val="000000" w:themeColor="text1"/>
          <w:szCs w:val="28"/>
        </w:rPr>
        <w:t>.</w:t>
      </w:r>
    </w:p>
    <w:p w:rsidR="00BF3DEC" w:rsidRPr="00CD032C" w:rsidRDefault="00BF3DEC" w:rsidP="00BF3DEC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contextualSpacing/>
        <w:outlineLvl w:val="1"/>
        <w:rPr>
          <w:b/>
          <w:szCs w:val="28"/>
        </w:rPr>
      </w:pPr>
      <w:r w:rsidRPr="00CD032C">
        <w:rPr>
          <w:b/>
          <w:szCs w:val="28"/>
        </w:rPr>
        <w:t>Общая информация</w:t>
      </w:r>
      <w:bookmarkStart w:id="0" w:name="_GoBack"/>
      <w:bookmarkEnd w:id="0"/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rStyle w:val="a3"/>
          <w:rFonts w:asciiTheme="minorHAnsi" w:hAnsiTheme="minorHAnsi" w:cstheme="minorBidi"/>
          <w:szCs w:val="28"/>
        </w:rPr>
      </w:pPr>
      <w:r w:rsidRPr="00CD032C">
        <w:rPr>
          <w:szCs w:val="28"/>
        </w:rPr>
        <w:t xml:space="preserve">В соответствии со ст.88 Договора о Евразийском экономическом союзе (Подписан в г. Астане 29.05.2014) (ред. от 08.05.2015) (с изм. и доп., вступ. в силу с 12.08.2017) Банк России осуществляет закупки в соответствии со своими внутренними правилами осуществления закупок. </w:t>
      </w:r>
      <w:hyperlink r:id="rId8" w:history="1">
        <w:r w:rsidRPr="00CD032C">
          <w:rPr>
            <w:rStyle w:val="a3"/>
            <w:szCs w:val="28"/>
          </w:rPr>
          <w:t>Положение Банка России от 1 марта 2018 года № 632-П «О закупках Центрального банка Российской Федерации (Банка России)»</w:t>
        </w:r>
      </w:hyperlink>
      <w:r w:rsidRPr="00CD032C">
        <w:rPr>
          <w:szCs w:val="28"/>
        </w:rPr>
        <w:t xml:space="preserve"> размещено на </w:t>
      </w:r>
      <w:hyperlink r:id="rId9" w:history="1">
        <w:r w:rsidRPr="00CD032C">
          <w:rPr>
            <w:rStyle w:val="a3"/>
            <w:szCs w:val="28"/>
          </w:rPr>
          <w:t>сайте Банка России</w:t>
        </w:r>
      </w:hyperlink>
      <w:r w:rsidRPr="00CD032C">
        <w:rPr>
          <w:szCs w:val="28"/>
        </w:rPr>
        <w:t xml:space="preserve"> в разделе </w:t>
      </w:r>
      <w:hyperlink r:id="rId10" w:history="1">
        <w:r w:rsidRPr="00CD032C">
          <w:rPr>
            <w:rStyle w:val="a3"/>
            <w:szCs w:val="28"/>
          </w:rPr>
          <w:t>Закупки Банка России</w:t>
        </w:r>
      </w:hyperlink>
      <w:r w:rsidRPr="00CD032C">
        <w:rPr>
          <w:szCs w:val="28"/>
        </w:rPr>
        <w:t>.</w:t>
      </w:r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rFonts w:eastAsiaTheme="minorHAnsi"/>
          <w:szCs w:val="28"/>
          <w:lang w:eastAsia="en-US"/>
        </w:rPr>
      </w:pPr>
      <w:r w:rsidRPr="00CD032C">
        <w:rPr>
          <w:szCs w:val="28"/>
        </w:rPr>
        <w:t xml:space="preserve">Годовые планы закупок Банка России размещены в разделе </w:t>
      </w:r>
      <w:hyperlink r:id="rId11" w:history="1">
        <w:r w:rsidRPr="00CD032C">
          <w:rPr>
            <w:rStyle w:val="a3"/>
            <w:szCs w:val="28"/>
          </w:rPr>
          <w:t>Годовой план закупок</w:t>
        </w:r>
      </w:hyperlink>
      <w:r w:rsidRPr="00CD032C">
        <w:rPr>
          <w:szCs w:val="28"/>
        </w:rPr>
        <w:t>. Годовой план зак</w:t>
      </w:r>
      <w:r w:rsidR="00C02342" w:rsidRPr="00CD032C">
        <w:rPr>
          <w:szCs w:val="28"/>
        </w:rPr>
        <w:t>упок на 2019</w:t>
      </w:r>
      <w:r w:rsidRPr="00CD032C">
        <w:rPr>
          <w:szCs w:val="28"/>
        </w:rPr>
        <w:t xml:space="preserve"> год доступен по ссылке:</w:t>
      </w:r>
    </w:p>
    <w:p w:rsidR="00BF3DEC" w:rsidRPr="00CD032C" w:rsidRDefault="00BF3DEC" w:rsidP="00BF3DEC">
      <w:pPr>
        <w:shd w:val="clear" w:color="auto" w:fill="FFFFFF"/>
        <w:spacing w:before="240" w:line="240" w:lineRule="auto"/>
        <w:ind w:left="-142"/>
        <w:outlineLvl w:val="1"/>
        <w:rPr>
          <w:rStyle w:val="a3"/>
          <w:szCs w:val="28"/>
        </w:rPr>
      </w:pPr>
      <w:r w:rsidRPr="00CD032C">
        <w:rPr>
          <w:rStyle w:val="a3"/>
          <w:szCs w:val="28"/>
        </w:rPr>
        <w:t>http://cbr.</w:t>
      </w:r>
      <w:r w:rsidR="00680BC4" w:rsidRPr="00CD032C">
        <w:rPr>
          <w:rStyle w:val="a3"/>
          <w:szCs w:val="28"/>
        </w:rPr>
        <w:t>ru/vfs/today/purchase</w:t>
      </w:r>
      <w:r w:rsidR="00ED4905" w:rsidRPr="00CD032C">
        <w:rPr>
          <w:rStyle w:val="a3"/>
          <w:szCs w:val="28"/>
        </w:rPr>
        <w:t>/pz2019.xlsx</w:t>
      </w:r>
    </w:p>
    <w:p w:rsidR="00BF3DEC" w:rsidRPr="00CD032C" w:rsidRDefault="00BF3DEC" w:rsidP="00BF3DEC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ind w:left="0" w:firstLine="567"/>
        <w:contextualSpacing/>
        <w:outlineLvl w:val="1"/>
        <w:rPr>
          <w:rFonts w:eastAsiaTheme="minorHAnsi"/>
          <w:b/>
          <w:szCs w:val="28"/>
        </w:rPr>
      </w:pPr>
      <w:r w:rsidRPr="00CD032C">
        <w:rPr>
          <w:b/>
          <w:szCs w:val="28"/>
        </w:rPr>
        <w:t>Аккредитация Банком России</w:t>
      </w:r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szCs w:val="28"/>
        </w:rPr>
      </w:pPr>
      <w:r w:rsidRPr="00CD032C">
        <w:rPr>
          <w:szCs w:val="28"/>
        </w:rPr>
        <w:t xml:space="preserve">В соответствии с п.4.1. </w:t>
      </w:r>
      <w:hyperlink r:id="rId12" w:history="1">
        <w:r w:rsidRPr="00CD032C">
          <w:rPr>
            <w:rStyle w:val="a3"/>
            <w:szCs w:val="28"/>
          </w:rPr>
          <w:t>Положения Банка России от 1 марта 2018 года № 632-П «О закупках Центрального банка Российской Федерации (Банка России)»</w:t>
        </w:r>
      </w:hyperlink>
      <w:r w:rsidRPr="00CD032C">
        <w:rPr>
          <w:szCs w:val="28"/>
        </w:rPr>
        <w:t xml:space="preserve"> для участия в закупках Банка России поставщик (подрядчик, исполнитель) должен соответствовать единым и (при необходимости) дополнительным требованиям. Проверка на соответствие единым требованиям проводится в виде аккредитации Банком России поставщиков (подрядчиков, исполнителей).</w:t>
      </w:r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color w:val="000000"/>
          <w:szCs w:val="28"/>
        </w:rPr>
      </w:pPr>
      <w:r w:rsidRPr="00CD032C">
        <w:rPr>
          <w:szCs w:val="28"/>
        </w:rPr>
        <w:t xml:space="preserve">Порядок аккредитации поставщиков (подрядчиков, исполнителей) определен в Главе 5 </w:t>
      </w:r>
      <w:hyperlink r:id="rId13" w:history="1">
        <w:r w:rsidRPr="00CD032C">
          <w:rPr>
            <w:rStyle w:val="a3"/>
            <w:szCs w:val="28"/>
          </w:rPr>
          <w:t>Положения Банка России от 1 марта 2018 года № 632-П «О закупках Центрального банка Российской Федерации (Банка России)»</w:t>
        </w:r>
      </w:hyperlink>
    </w:p>
    <w:p w:rsidR="00BF3DEC" w:rsidRPr="00CD032C" w:rsidRDefault="00BF3DEC" w:rsidP="00BF3DEC">
      <w:pPr>
        <w:shd w:val="clear" w:color="auto" w:fill="FFFFFF"/>
        <w:spacing w:after="240" w:line="240" w:lineRule="auto"/>
        <w:outlineLvl w:val="1"/>
        <w:rPr>
          <w:rStyle w:val="a3"/>
          <w:szCs w:val="28"/>
        </w:rPr>
      </w:pPr>
      <w:r w:rsidRPr="00CD032C">
        <w:rPr>
          <w:color w:val="000000"/>
          <w:szCs w:val="28"/>
        </w:rPr>
        <w:t xml:space="preserve">В случае проведения аккредитации отдельно от процедуры закупки заявка на аккредитацию направляется в электронной форме с использованием функционала электронной торговой площадки </w:t>
      </w:r>
      <w:hyperlink r:id="rId14" w:history="1">
        <w:r w:rsidRPr="00CD032C">
          <w:rPr>
            <w:rStyle w:val="a3"/>
            <w:szCs w:val="28"/>
          </w:rPr>
          <w:t>ЗАО «Сбербанк-АСТ»</w:t>
        </w:r>
      </w:hyperlink>
      <w:r w:rsidRPr="00CD032C">
        <w:rPr>
          <w:color w:val="000000"/>
          <w:szCs w:val="28"/>
        </w:rPr>
        <w:t xml:space="preserve">. Порядок и место подачи документов на аккредитацию описан в Разделе 2 </w:t>
      </w:r>
      <w:hyperlink r:id="rId15" w:history="1">
        <w:r w:rsidRPr="00CD032C">
          <w:rPr>
            <w:rStyle w:val="a3"/>
            <w:szCs w:val="28"/>
          </w:rPr>
          <w:t>Регламента торговой секции «Закупки Центрального банка Российской Федерации»</w:t>
        </w:r>
      </w:hyperlink>
      <w:r w:rsidRPr="00CD032C">
        <w:rPr>
          <w:color w:val="000000"/>
          <w:szCs w:val="28"/>
        </w:rPr>
        <w:t xml:space="preserve">. </w:t>
      </w:r>
    </w:p>
    <w:p w:rsidR="00BF3DEC" w:rsidRPr="00CD032C" w:rsidRDefault="00BF3DEC" w:rsidP="00BF3DEC">
      <w:pPr>
        <w:shd w:val="clear" w:color="auto" w:fill="FFFFFF"/>
        <w:spacing w:line="240" w:lineRule="auto"/>
        <w:outlineLvl w:val="1"/>
        <w:rPr>
          <w:rFonts w:eastAsiaTheme="minorHAnsi"/>
          <w:szCs w:val="28"/>
          <w:lang w:eastAsia="en-US"/>
        </w:rPr>
      </w:pPr>
      <w:r w:rsidRPr="00CD032C">
        <w:rPr>
          <w:szCs w:val="28"/>
        </w:rPr>
        <w:lastRenderedPageBreak/>
        <w:t>Документы для аккредитации, форма заявки на аккредитацию доступны по ссылке:</w:t>
      </w:r>
    </w:p>
    <w:p w:rsidR="00BF3DEC" w:rsidRPr="00CD032C" w:rsidRDefault="00ED181B" w:rsidP="00BF3DEC">
      <w:pPr>
        <w:shd w:val="clear" w:color="auto" w:fill="FFFFFF"/>
        <w:spacing w:before="240" w:line="240" w:lineRule="auto"/>
        <w:outlineLvl w:val="1"/>
        <w:rPr>
          <w:rStyle w:val="a3"/>
          <w:szCs w:val="28"/>
        </w:rPr>
      </w:pPr>
      <w:hyperlink r:id="rId16" w:history="1">
        <w:r w:rsidR="00BF3DEC" w:rsidRPr="00CD032C">
          <w:rPr>
            <w:rStyle w:val="a3"/>
            <w:szCs w:val="28"/>
          </w:rPr>
          <w:t>http://utp.sberbank-ast.ru/CBRF/Notice/2065/Documents</w:t>
        </w:r>
      </w:hyperlink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rFonts w:eastAsiaTheme="minorHAnsi"/>
          <w:szCs w:val="28"/>
          <w:lang w:eastAsia="en-US"/>
        </w:rPr>
      </w:pPr>
      <w:r w:rsidRPr="00CD032C">
        <w:rPr>
          <w:szCs w:val="28"/>
        </w:rPr>
        <w:t>Детальная инструкция по регистрации/аккредитации в торговой секции «Закупки Центрального Банка Российской Федерации (Банка России)» для Участника доступна по ссылке:</w:t>
      </w:r>
    </w:p>
    <w:p w:rsidR="00BF3DEC" w:rsidRPr="00CD032C" w:rsidRDefault="00ED181B" w:rsidP="00BF3DEC">
      <w:pPr>
        <w:shd w:val="clear" w:color="auto" w:fill="FFFFFF"/>
        <w:spacing w:before="240" w:line="240" w:lineRule="auto"/>
        <w:outlineLvl w:val="1"/>
        <w:rPr>
          <w:rStyle w:val="a3"/>
          <w:rFonts w:asciiTheme="minorHAnsi" w:hAnsiTheme="minorHAnsi" w:cstheme="minorBidi"/>
          <w:szCs w:val="28"/>
        </w:rPr>
      </w:pPr>
      <w:hyperlink r:id="rId17" w:history="1">
        <w:r w:rsidR="00BF3DEC" w:rsidRPr="00CD032C">
          <w:rPr>
            <w:rStyle w:val="a3"/>
            <w:szCs w:val="28"/>
          </w:rPr>
          <w:t>http://utp.sberbank-ast.ru/CBRF/Notice/2062/Instruction</w:t>
        </w:r>
      </w:hyperlink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rFonts w:eastAsiaTheme="minorHAnsi"/>
          <w:szCs w:val="28"/>
          <w:lang w:eastAsia="en-US"/>
        </w:rPr>
      </w:pPr>
      <w:r w:rsidRPr="00CD032C">
        <w:rPr>
          <w:szCs w:val="28"/>
        </w:rPr>
        <w:t>Перечень аккредитованных компаний доступен по ссылке:</w:t>
      </w:r>
    </w:p>
    <w:p w:rsidR="00BF3DEC" w:rsidRPr="00CD032C" w:rsidRDefault="00ED181B" w:rsidP="00BF3DEC">
      <w:pPr>
        <w:shd w:val="clear" w:color="auto" w:fill="FFFFFF"/>
        <w:spacing w:before="240" w:line="240" w:lineRule="auto"/>
        <w:outlineLvl w:val="1"/>
        <w:rPr>
          <w:rStyle w:val="a3"/>
          <w:rFonts w:asciiTheme="minorHAnsi" w:hAnsiTheme="minorHAnsi" w:cstheme="minorBidi"/>
          <w:szCs w:val="28"/>
        </w:rPr>
      </w:pPr>
      <w:hyperlink r:id="rId18" w:history="1">
        <w:r w:rsidR="00BF3DEC" w:rsidRPr="00CD032C">
          <w:rPr>
            <w:rStyle w:val="a3"/>
            <w:szCs w:val="28"/>
          </w:rPr>
          <w:t>http://cbr.ru/vfs/today/purchase/rsmur.xlsx</w:t>
        </w:r>
      </w:hyperlink>
    </w:p>
    <w:p w:rsidR="00BF3DEC" w:rsidRPr="00CD032C" w:rsidRDefault="00BF3DEC" w:rsidP="00BF3DEC">
      <w:pPr>
        <w:pStyle w:val="a4"/>
        <w:numPr>
          <w:ilvl w:val="0"/>
          <w:numId w:val="1"/>
        </w:numPr>
        <w:shd w:val="clear" w:color="auto" w:fill="FFFFFF"/>
        <w:spacing w:before="240" w:line="240" w:lineRule="auto"/>
        <w:contextualSpacing/>
        <w:outlineLvl w:val="1"/>
        <w:rPr>
          <w:b/>
          <w:szCs w:val="28"/>
        </w:rPr>
      </w:pPr>
      <w:r w:rsidRPr="00CD032C">
        <w:rPr>
          <w:b/>
          <w:szCs w:val="28"/>
        </w:rPr>
        <w:t>Регистрация в торговой секции Банка России</w:t>
      </w:r>
    </w:p>
    <w:p w:rsidR="00BF3DEC" w:rsidRPr="00CD032C" w:rsidRDefault="00BF3DEC" w:rsidP="00BF3DEC">
      <w:pPr>
        <w:shd w:val="clear" w:color="auto" w:fill="FFFFFF"/>
        <w:spacing w:before="240" w:line="240" w:lineRule="auto"/>
        <w:outlineLvl w:val="1"/>
        <w:rPr>
          <w:szCs w:val="28"/>
        </w:rPr>
      </w:pPr>
      <w:r w:rsidRPr="00CD032C">
        <w:rPr>
          <w:szCs w:val="28"/>
        </w:rPr>
        <w:t>Для участия в закупках Банка России, проводимых в электронной форме (через ЭТП</w:t>
      </w:r>
      <w:proofErr w:type="gramStart"/>
      <w:r w:rsidRPr="00CD032C">
        <w:rPr>
          <w:szCs w:val="28"/>
        </w:rPr>
        <w:t>),  поставщик</w:t>
      </w:r>
      <w:proofErr w:type="gramEnd"/>
      <w:r w:rsidRPr="00CD032C">
        <w:rPr>
          <w:szCs w:val="28"/>
        </w:rPr>
        <w:t xml:space="preserve"> (подрядчик, исполнитель) должен быть зарегистрирован в торговой секции Банка России. Инструкция по регистрации доступна по ссылке:</w:t>
      </w:r>
    </w:p>
    <w:p w:rsidR="00EC365E" w:rsidRPr="00CD032C" w:rsidRDefault="00ED181B" w:rsidP="00BF3DEC">
      <w:pPr>
        <w:shd w:val="clear" w:color="auto" w:fill="FFFFFF"/>
        <w:spacing w:before="240" w:after="120" w:line="240" w:lineRule="auto"/>
        <w:jc w:val="left"/>
        <w:outlineLvl w:val="1"/>
        <w:rPr>
          <w:szCs w:val="28"/>
        </w:rPr>
      </w:pPr>
      <w:hyperlink r:id="rId19" w:history="1">
        <w:r w:rsidR="00BF3DEC" w:rsidRPr="00CD032C">
          <w:rPr>
            <w:rStyle w:val="a3"/>
            <w:szCs w:val="28"/>
          </w:rPr>
          <w:t>http://utp.sberbank-ast.ru/CBRF/File/DownLoadFile?fid=6cf3da7f-8973-4f42-8588-17c1b3781254</w:t>
        </w:r>
      </w:hyperlink>
    </w:p>
    <w:sectPr w:rsidR="00EC365E" w:rsidRPr="00CD032C" w:rsidSect="00ED181B">
      <w:headerReference w:type="first" r:id="rId20"/>
      <w:pgSz w:w="11906" w:h="16838" w:code="9"/>
      <w:pgMar w:top="1134" w:right="707" w:bottom="1134" w:left="1276" w:header="680" w:footer="737" w:gutter="0"/>
      <w:pgNumType w:start="2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1B" w:rsidRDefault="00ED181B" w:rsidP="00ED181B">
      <w:pPr>
        <w:spacing w:line="240" w:lineRule="auto"/>
      </w:pPr>
      <w:r>
        <w:separator/>
      </w:r>
    </w:p>
  </w:endnote>
  <w:endnote w:type="continuationSeparator" w:id="0">
    <w:p w:rsidR="00ED181B" w:rsidRDefault="00ED181B" w:rsidP="00ED1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1B" w:rsidRDefault="00ED181B" w:rsidP="00ED181B">
      <w:pPr>
        <w:spacing w:line="240" w:lineRule="auto"/>
      </w:pPr>
      <w:r>
        <w:separator/>
      </w:r>
    </w:p>
  </w:footnote>
  <w:footnote w:type="continuationSeparator" w:id="0">
    <w:p w:rsidR="00ED181B" w:rsidRDefault="00ED181B" w:rsidP="00ED1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89639"/>
      <w:docPartObj>
        <w:docPartGallery w:val="Page Numbers (Top of Page)"/>
        <w:docPartUnique/>
      </w:docPartObj>
    </w:sdtPr>
    <w:sdtContent>
      <w:p w:rsidR="00ED181B" w:rsidRDefault="00ED18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81B" w:rsidRDefault="00ED18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9F7"/>
    <w:multiLevelType w:val="hybridMultilevel"/>
    <w:tmpl w:val="A5F0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FF"/>
    <w:rsid w:val="000D47D9"/>
    <w:rsid w:val="00347828"/>
    <w:rsid w:val="00680BC4"/>
    <w:rsid w:val="00BF3DEC"/>
    <w:rsid w:val="00C02342"/>
    <w:rsid w:val="00CD032C"/>
    <w:rsid w:val="00E45ED3"/>
    <w:rsid w:val="00E50CE1"/>
    <w:rsid w:val="00EC365E"/>
    <w:rsid w:val="00ED181B"/>
    <w:rsid w:val="00ED4905"/>
    <w:rsid w:val="00F23DFF"/>
    <w:rsid w:val="00F8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3D76"/>
  <w15:chartTrackingRefBased/>
  <w15:docId w15:val="{A5196F5D-5E6B-4843-9FD5-A7868A9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EC"/>
    <w:pPr>
      <w:spacing w:after="0" w:line="360" w:lineRule="auto"/>
      <w:ind w:firstLine="567"/>
      <w:jc w:val="both"/>
    </w:pPr>
    <w:rPr>
      <w:rFonts w:eastAsia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3DE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3DEC"/>
    <w:pPr>
      <w:ind w:left="708" w:firstLine="709"/>
    </w:pPr>
    <w:rPr>
      <w:rFonts w:eastAsia="Calibri"/>
      <w:snapToGrid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BF3DEC"/>
    <w:rPr>
      <w:rFonts w:eastAsia="Calibri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ED18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81B"/>
    <w:rPr>
      <w:rFonts w:eastAsia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18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181B"/>
    <w:rPr>
      <w:rFonts w:eastAsia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r.ru/analytics/?PrtID=na_vr&amp;docid=514" TargetMode="External"/><Relationship Id="rId13" Type="http://schemas.openxmlformats.org/officeDocument/2006/relationships/hyperlink" Target="http://cbr.ru/analytics/?PrtID=na_vr&amp;docid=514" TargetMode="External"/><Relationship Id="rId18" Type="http://schemas.openxmlformats.org/officeDocument/2006/relationships/hyperlink" Target="http://cbr.ru/vfs/today/purchase/rsmur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cbr.ru/analytics/?PrtID=na_vr&amp;docid=514" TargetMode="External"/><Relationship Id="rId17" Type="http://schemas.openxmlformats.org/officeDocument/2006/relationships/hyperlink" Target="http://utp.sberbank-ast.ru/CBRF/Notice/2062/Instr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CBRF/Notice/2065/Document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r.ru/today/zakupki_32039_59423/gpz_zak_4199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CBRF/File/DownLoadFile?fid=b46f9575-e5f1-4dd6-b452-d79670439c49" TargetMode="External"/><Relationship Id="rId10" Type="http://schemas.openxmlformats.org/officeDocument/2006/relationships/hyperlink" Target="http://cbr.ru/today/zakupki_32039_59423/" TargetMode="External"/><Relationship Id="rId19" Type="http://schemas.openxmlformats.org/officeDocument/2006/relationships/hyperlink" Target="http://utp.sberbank-ast.ru/CBRF/File/DownLoadFile?fid=6cf3da7f-8973-4f42-8588-17c1b3781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r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RF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Виктория Геннадьевна</dc:creator>
  <cp:keywords/>
  <dc:description/>
  <cp:lastModifiedBy>Емельяненко Виктория Геннадьевна</cp:lastModifiedBy>
  <cp:revision>9</cp:revision>
  <dcterms:created xsi:type="dcterms:W3CDTF">2018-08-16T02:02:00Z</dcterms:created>
  <dcterms:modified xsi:type="dcterms:W3CDTF">2019-08-23T00:16:00Z</dcterms:modified>
</cp:coreProperties>
</file>